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96" w:rsidRDefault="004B3296" w:rsidP="004B3296">
      <w:pPr>
        <w:spacing w:after="0"/>
        <w:rPr>
          <w:rFonts w:ascii="Arial" w:hAnsi="Arial" w:cs="Arial"/>
        </w:rPr>
      </w:pPr>
    </w:p>
    <w:p w:rsidR="008F0502" w:rsidRPr="004B3296" w:rsidRDefault="004B3296" w:rsidP="004B3296">
      <w:pPr>
        <w:spacing w:after="0"/>
        <w:jc w:val="center"/>
        <w:rPr>
          <w:rFonts w:ascii="Arial" w:hAnsi="Arial" w:cs="Arial"/>
          <w:b/>
          <w:sz w:val="28"/>
          <w:szCs w:val="28"/>
        </w:rPr>
      </w:pPr>
      <w:r w:rsidRPr="004B3296">
        <w:rPr>
          <w:rFonts w:ascii="Arial" w:hAnsi="Arial" w:cs="Arial"/>
          <w:b/>
          <w:sz w:val="28"/>
          <w:szCs w:val="28"/>
        </w:rPr>
        <w:t>Angemessene Mietobergrenzen für das Stadtgebiet Ludwigshafen</w:t>
      </w:r>
    </w:p>
    <w:p w:rsidR="004B3296" w:rsidRDefault="004B3296" w:rsidP="004B3296">
      <w:pPr>
        <w:spacing w:after="0"/>
        <w:jc w:val="center"/>
        <w:rPr>
          <w:rFonts w:ascii="Arial" w:hAnsi="Arial" w:cs="Arial"/>
          <w:b/>
          <w:sz w:val="28"/>
          <w:szCs w:val="28"/>
        </w:rPr>
      </w:pPr>
    </w:p>
    <w:p w:rsidR="004B3296" w:rsidRDefault="004B3296" w:rsidP="004B3296">
      <w:pPr>
        <w:spacing w:after="0"/>
        <w:jc w:val="center"/>
        <w:rPr>
          <w:rFonts w:ascii="Arial" w:hAnsi="Arial" w:cs="Arial"/>
          <w:b/>
          <w:sz w:val="28"/>
          <w:szCs w:val="28"/>
        </w:rPr>
      </w:pPr>
    </w:p>
    <w:p w:rsidR="004B3296" w:rsidRDefault="004B3296" w:rsidP="004B3296">
      <w:pPr>
        <w:spacing w:after="0"/>
        <w:rPr>
          <w:rFonts w:ascii="Arial" w:hAnsi="Arial" w:cs="Arial"/>
          <w:sz w:val="24"/>
          <w:szCs w:val="24"/>
          <w:u w:val="single"/>
        </w:rPr>
      </w:pPr>
    </w:p>
    <w:p w:rsidR="004B3296" w:rsidRPr="004B3296" w:rsidRDefault="004B3296" w:rsidP="004B3296">
      <w:pPr>
        <w:pStyle w:val="Listenabsatz"/>
        <w:numPr>
          <w:ilvl w:val="0"/>
          <w:numId w:val="3"/>
        </w:numPr>
        <w:spacing w:after="0"/>
        <w:rPr>
          <w:rFonts w:ascii="Arial" w:hAnsi="Arial" w:cs="Arial"/>
          <w:sz w:val="24"/>
          <w:szCs w:val="24"/>
        </w:rPr>
      </w:pPr>
      <w:r w:rsidRPr="004B3296">
        <w:rPr>
          <w:rFonts w:ascii="Arial" w:hAnsi="Arial" w:cs="Arial"/>
          <w:sz w:val="24"/>
          <w:szCs w:val="24"/>
        </w:rPr>
        <w:t>W</w:t>
      </w:r>
      <w:r w:rsidR="00011113">
        <w:rPr>
          <w:rFonts w:ascii="Arial" w:hAnsi="Arial" w:cs="Arial"/>
          <w:sz w:val="24"/>
          <w:szCs w:val="24"/>
        </w:rPr>
        <w:t>ichtige Hinweise</w:t>
      </w:r>
    </w:p>
    <w:p w:rsidR="004B3296" w:rsidRDefault="004B3296" w:rsidP="004B3296">
      <w:pPr>
        <w:spacing w:after="0"/>
        <w:rPr>
          <w:rFonts w:ascii="Arial" w:hAnsi="Arial" w:cs="Arial"/>
          <w:sz w:val="24"/>
          <w:szCs w:val="24"/>
          <w:u w:val="single"/>
        </w:rPr>
      </w:pPr>
    </w:p>
    <w:p w:rsidR="004B3296" w:rsidRPr="004B3296" w:rsidRDefault="004B3296" w:rsidP="004B3296">
      <w:pPr>
        <w:pStyle w:val="Listenabsatz"/>
        <w:numPr>
          <w:ilvl w:val="0"/>
          <w:numId w:val="2"/>
        </w:numPr>
        <w:spacing w:after="0"/>
        <w:jc w:val="both"/>
        <w:rPr>
          <w:rFonts w:ascii="Arial" w:hAnsi="Arial" w:cs="Arial"/>
        </w:rPr>
      </w:pPr>
      <w:r w:rsidRPr="004B3296">
        <w:rPr>
          <w:rFonts w:ascii="Arial" w:hAnsi="Arial" w:cs="Arial"/>
        </w:rPr>
        <w:t xml:space="preserve">Gemäß § 22 Absatz 4 </w:t>
      </w:r>
      <w:r w:rsidR="00011113">
        <w:rPr>
          <w:rFonts w:ascii="Arial" w:hAnsi="Arial" w:cs="Arial"/>
        </w:rPr>
        <w:t>Zweites Buch Sozialgesetzbuch (</w:t>
      </w:r>
      <w:r w:rsidRPr="004B3296">
        <w:rPr>
          <w:rFonts w:ascii="Arial" w:hAnsi="Arial" w:cs="Arial"/>
        </w:rPr>
        <w:t>SGB II</w:t>
      </w:r>
      <w:r w:rsidR="00011113">
        <w:rPr>
          <w:rFonts w:ascii="Arial" w:hAnsi="Arial" w:cs="Arial"/>
        </w:rPr>
        <w:t>)</w:t>
      </w:r>
      <w:r w:rsidRPr="004B3296">
        <w:rPr>
          <w:rFonts w:ascii="Arial" w:hAnsi="Arial" w:cs="Arial"/>
        </w:rPr>
        <w:t xml:space="preserve"> ist vor einem Umzug grundsätzlich eine Zusicherung des Jobcenters erforderlich. Um finanzielle Nachteile zu vermeiden, sollten Sie deshalb Ihren Umzug </w:t>
      </w:r>
      <w:r w:rsidRPr="004B3296">
        <w:rPr>
          <w:rFonts w:ascii="Arial" w:hAnsi="Arial" w:cs="Arial"/>
          <w:u w:val="single"/>
        </w:rPr>
        <w:t>im Vorfeld</w:t>
      </w:r>
      <w:r w:rsidRPr="004B3296">
        <w:rPr>
          <w:rFonts w:ascii="Arial" w:hAnsi="Arial" w:cs="Arial"/>
        </w:rPr>
        <w:t xml:space="preserve"> im Jobcenter abstimmen.</w:t>
      </w:r>
    </w:p>
    <w:p w:rsidR="004B3296" w:rsidRPr="004B3296" w:rsidRDefault="004B3296" w:rsidP="004B3296">
      <w:pPr>
        <w:pStyle w:val="Listenabsatz"/>
        <w:spacing w:after="0"/>
        <w:ind w:left="360"/>
        <w:jc w:val="both"/>
        <w:rPr>
          <w:rFonts w:ascii="Arial" w:hAnsi="Arial" w:cs="Arial"/>
        </w:rPr>
      </w:pPr>
    </w:p>
    <w:p w:rsidR="004B3296" w:rsidRDefault="004B3296" w:rsidP="004B3296">
      <w:pPr>
        <w:pStyle w:val="Listenabsatz"/>
        <w:numPr>
          <w:ilvl w:val="0"/>
          <w:numId w:val="2"/>
        </w:numPr>
        <w:spacing w:after="0"/>
        <w:jc w:val="both"/>
        <w:rPr>
          <w:rFonts w:ascii="Arial" w:hAnsi="Arial" w:cs="Arial"/>
        </w:rPr>
      </w:pPr>
      <w:r w:rsidRPr="004B3296">
        <w:rPr>
          <w:rFonts w:ascii="Arial" w:hAnsi="Arial" w:cs="Arial"/>
        </w:rPr>
        <w:t>Anmietungen von Wohnraum sind privatrechtlicher Natur, das heißt das Jobcenter tritt zu keiner Zeit in den Mietvertrag</w:t>
      </w:r>
      <w:r>
        <w:rPr>
          <w:rFonts w:ascii="Arial" w:hAnsi="Arial" w:cs="Arial"/>
        </w:rPr>
        <w:t xml:space="preserve"> ein. </w:t>
      </w:r>
      <w:r w:rsidRPr="004B3296">
        <w:rPr>
          <w:rFonts w:ascii="Arial" w:hAnsi="Arial" w:cs="Arial"/>
        </w:rPr>
        <w:t>Ebenso wenig kann von Seiten des Jobc</w:t>
      </w:r>
      <w:r>
        <w:rPr>
          <w:rFonts w:ascii="Arial" w:hAnsi="Arial" w:cs="Arial"/>
        </w:rPr>
        <w:t>enter eine Mietgarantie abgegeben werden.</w:t>
      </w:r>
    </w:p>
    <w:p w:rsidR="004B3296" w:rsidRPr="004B3296" w:rsidRDefault="004B3296" w:rsidP="004B3296">
      <w:pPr>
        <w:pStyle w:val="Listenabsatz"/>
        <w:jc w:val="both"/>
        <w:rPr>
          <w:rFonts w:ascii="Arial" w:hAnsi="Arial" w:cs="Arial"/>
        </w:rPr>
      </w:pPr>
    </w:p>
    <w:p w:rsidR="00D7468A" w:rsidRDefault="00D7468A" w:rsidP="00D7468A">
      <w:pPr>
        <w:pStyle w:val="Listenabsatz"/>
        <w:numPr>
          <w:ilvl w:val="0"/>
          <w:numId w:val="2"/>
        </w:numPr>
        <w:jc w:val="both"/>
        <w:rPr>
          <w:rFonts w:ascii="Arial" w:hAnsi="Arial" w:cs="Arial"/>
        </w:rPr>
      </w:pPr>
      <w:r>
        <w:rPr>
          <w:rFonts w:ascii="Arial" w:hAnsi="Arial" w:cs="Arial"/>
        </w:rPr>
        <w:t xml:space="preserve">Für eine Direktüberweisung der Miete auf das Konto des Vermieters ist eine schriftliche Einverständniserklärung des Leistungsempfängers erforderlich. Dabei ist jedoch zu beachten, dass der Leistungsanspruch nicht zwingend der Miethöhe entsprechen muss, sondern aus leistungsrechtlichen Gründen auch geringer ausfallen kann. </w:t>
      </w:r>
    </w:p>
    <w:p w:rsidR="00011113" w:rsidRDefault="00011113" w:rsidP="00011113">
      <w:pPr>
        <w:pStyle w:val="Listenabsatz"/>
        <w:rPr>
          <w:rFonts w:ascii="Arial" w:hAnsi="Arial" w:cs="Arial"/>
        </w:rPr>
      </w:pPr>
    </w:p>
    <w:p w:rsidR="00011113" w:rsidRPr="00011113" w:rsidRDefault="00011113" w:rsidP="00011113">
      <w:pPr>
        <w:pStyle w:val="Listenabsatz"/>
        <w:rPr>
          <w:rFonts w:ascii="Arial" w:hAnsi="Arial" w:cs="Arial"/>
        </w:rPr>
      </w:pPr>
    </w:p>
    <w:p w:rsidR="00011113" w:rsidRPr="00011113" w:rsidRDefault="00011113" w:rsidP="00011113">
      <w:pPr>
        <w:pStyle w:val="Listenabsatz"/>
        <w:numPr>
          <w:ilvl w:val="0"/>
          <w:numId w:val="3"/>
        </w:numPr>
        <w:jc w:val="both"/>
        <w:rPr>
          <w:rFonts w:ascii="Arial" w:hAnsi="Arial" w:cs="Arial"/>
          <w:sz w:val="24"/>
          <w:szCs w:val="24"/>
        </w:rPr>
      </w:pPr>
      <w:r w:rsidRPr="00011113">
        <w:rPr>
          <w:rFonts w:ascii="Arial" w:hAnsi="Arial" w:cs="Arial"/>
          <w:sz w:val="24"/>
          <w:szCs w:val="24"/>
        </w:rPr>
        <w:t>Angemessene Mietobergrenzen</w:t>
      </w:r>
    </w:p>
    <w:p w:rsidR="00FC70F8" w:rsidRDefault="00FC70F8" w:rsidP="00FC70F8">
      <w:pPr>
        <w:spacing w:after="0"/>
        <w:rPr>
          <w:rFonts w:ascii="Arial" w:hAnsi="Arial" w:cs="Arial"/>
        </w:rPr>
      </w:pPr>
    </w:p>
    <w:tbl>
      <w:tblPr>
        <w:tblW w:w="8363" w:type="dxa"/>
        <w:tblInd w:w="708" w:type="dxa"/>
        <w:tblCellMar>
          <w:left w:w="70" w:type="dxa"/>
          <w:right w:w="70" w:type="dxa"/>
        </w:tblCellMar>
        <w:tblLook w:val="04A0" w:firstRow="1" w:lastRow="0" w:firstColumn="1" w:lastColumn="0" w:noHBand="0" w:noVBand="1"/>
      </w:tblPr>
      <w:tblGrid>
        <w:gridCol w:w="2025"/>
        <w:gridCol w:w="1858"/>
        <w:gridCol w:w="2192"/>
        <w:gridCol w:w="2288"/>
      </w:tblGrid>
      <w:tr w:rsidR="00061AC8" w:rsidTr="00061AC8">
        <w:trPr>
          <w:trHeight w:val="333"/>
        </w:trPr>
        <w:tc>
          <w:tcPr>
            <w:tcW w:w="163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61AC8" w:rsidRDefault="00061AC8" w:rsidP="00061AC8">
            <w:pPr>
              <w:spacing w:after="0" w:line="276" w:lineRule="auto"/>
              <w:rPr>
                <w:rFonts w:ascii="Arial" w:hAnsi="Arial" w:cs="Arial"/>
                <w:sz w:val="20"/>
                <w:szCs w:val="20"/>
              </w:rPr>
            </w:pPr>
            <w:r>
              <w:rPr>
                <w:rFonts w:ascii="Arial" w:hAnsi="Arial" w:cs="Arial"/>
                <w:sz w:val="20"/>
                <w:szCs w:val="20"/>
              </w:rPr>
              <w:t>Haushaltsgröße</w:t>
            </w:r>
          </w:p>
        </w:tc>
        <w:tc>
          <w:tcPr>
            <w:tcW w:w="1496"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61AC8" w:rsidRDefault="00061AC8" w:rsidP="00061AC8">
            <w:pPr>
              <w:spacing w:after="0" w:line="276" w:lineRule="auto"/>
              <w:jc w:val="center"/>
              <w:rPr>
                <w:rFonts w:ascii="Arial" w:hAnsi="Arial" w:cs="Arial"/>
                <w:sz w:val="20"/>
                <w:szCs w:val="20"/>
              </w:rPr>
            </w:pPr>
            <w:r>
              <w:rPr>
                <w:rFonts w:ascii="Arial" w:hAnsi="Arial" w:cs="Arial"/>
                <w:sz w:val="20"/>
                <w:szCs w:val="20"/>
              </w:rPr>
              <w:t>Kaltmiete</w:t>
            </w:r>
          </w:p>
        </w:tc>
        <w:tc>
          <w:tcPr>
            <w:tcW w:w="176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61AC8" w:rsidRDefault="00061AC8" w:rsidP="00061AC8">
            <w:pPr>
              <w:spacing w:after="0" w:line="276" w:lineRule="auto"/>
              <w:jc w:val="center"/>
              <w:rPr>
                <w:rFonts w:ascii="Arial" w:hAnsi="Arial" w:cs="Arial"/>
                <w:sz w:val="20"/>
                <w:szCs w:val="20"/>
              </w:rPr>
            </w:pPr>
            <w:r>
              <w:rPr>
                <w:rFonts w:ascii="Arial" w:hAnsi="Arial" w:cs="Arial"/>
                <w:sz w:val="20"/>
                <w:szCs w:val="20"/>
              </w:rPr>
              <w:t>Betriebskosten</w:t>
            </w:r>
          </w:p>
          <w:p w:rsidR="00061AC8" w:rsidRDefault="00061AC8" w:rsidP="00061AC8">
            <w:pPr>
              <w:spacing w:after="0" w:line="276" w:lineRule="auto"/>
              <w:jc w:val="center"/>
              <w:rPr>
                <w:rFonts w:ascii="Arial" w:hAnsi="Arial" w:cs="Arial"/>
                <w:sz w:val="20"/>
                <w:szCs w:val="20"/>
              </w:rPr>
            </w:pPr>
            <w:r>
              <w:rPr>
                <w:rFonts w:ascii="Arial" w:hAnsi="Arial" w:cs="Arial"/>
                <w:sz w:val="20"/>
                <w:szCs w:val="20"/>
              </w:rPr>
              <w:t>ohne Heizkosten</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61AC8" w:rsidRDefault="00061AC8" w:rsidP="00061AC8">
            <w:pPr>
              <w:spacing w:after="0" w:line="276" w:lineRule="auto"/>
              <w:jc w:val="center"/>
              <w:rPr>
                <w:rFonts w:ascii="Arial" w:hAnsi="Arial" w:cs="Arial"/>
                <w:b/>
                <w:sz w:val="20"/>
                <w:szCs w:val="20"/>
              </w:rPr>
            </w:pPr>
            <w:r>
              <w:rPr>
                <w:rFonts w:ascii="Arial" w:hAnsi="Arial" w:cs="Arial"/>
                <w:b/>
                <w:sz w:val="20"/>
                <w:szCs w:val="20"/>
              </w:rPr>
              <w:t>Mietobergrenze Bruttokaltmiete</w:t>
            </w:r>
          </w:p>
        </w:tc>
      </w:tr>
      <w:tr w:rsidR="00061AC8" w:rsidTr="00061AC8">
        <w:trPr>
          <w:trHeight w:val="252"/>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1 Person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301,78 €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86,44 €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388,22 €</w:t>
            </w:r>
          </w:p>
        </w:tc>
      </w:tr>
      <w:tr w:rsidR="00061AC8" w:rsidTr="00061AC8">
        <w:trPr>
          <w:trHeight w:val="300"/>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2 Personen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349,40 €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107,37 €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456,77 €</w:t>
            </w:r>
          </w:p>
        </w:tc>
      </w:tr>
      <w:tr w:rsidR="00061AC8" w:rsidTr="00061AC8">
        <w:trPr>
          <w:trHeight w:val="300"/>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3 Personen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462,63 €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150,44 €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613,07 €</w:t>
            </w:r>
          </w:p>
        </w:tc>
      </w:tr>
      <w:tr w:rsidR="00061AC8" w:rsidTr="00061AC8">
        <w:trPr>
          <w:trHeight w:val="300"/>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4 Personen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543,21 €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168,33 €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711,54 €</w:t>
            </w:r>
          </w:p>
        </w:tc>
      </w:tr>
      <w:tr w:rsidR="00061AC8" w:rsidTr="00061AC8">
        <w:trPr>
          <w:trHeight w:val="300"/>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5 Personen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629,50 €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197,45 €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826,95 €</w:t>
            </w:r>
          </w:p>
        </w:tc>
      </w:tr>
      <w:tr w:rsidR="00061AC8" w:rsidTr="00061AC8">
        <w:trPr>
          <w:trHeight w:val="300"/>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6 Personen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780,09 €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191,68 €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971,77 €</w:t>
            </w:r>
          </w:p>
        </w:tc>
      </w:tr>
      <w:tr w:rsidR="00061AC8" w:rsidTr="00061AC8">
        <w:trPr>
          <w:trHeight w:val="300"/>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7 Personen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877,59 €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215,65 €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1.093,24 €</w:t>
            </w:r>
          </w:p>
        </w:tc>
      </w:tr>
      <w:tr w:rsidR="00061AC8" w:rsidTr="00061AC8">
        <w:trPr>
          <w:trHeight w:val="300"/>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8 Personen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975,11 €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239,61 €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1.214,72 €</w:t>
            </w:r>
          </w:p>
        </w:tc>
      </w:tr>
      <w:tr w:rsidR="00061AC8" w:rsidTr="00061AC8">
        <w:trPr>
          <w:trHeight w:val="300"/>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9 Personen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1.072,62 €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263,57 €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1.336,19 €</w:t>
            </w:r>
          </w:p>
        </w:tc>
      </w:tr>
      <w:tr w:rsidR="00061AC8" w:rsidTr="00061AC8">
        <w:trPr>
          <w:trHeight w:val="300"/>
        </w:trPr>
        <w:tc>
          <w:tcPr>
            <w:tcW w:w="1630"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10 Personen</w:t>
            </w:r>
          </w:p>
        </w:tc>
        <w:tc>
          <w:tcPr>
            <w:tcW w:w="1496"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rPr>
                <w:rFonts w:ascii="Arial" w:hAnsi="Arial" w:cs="Arial"/>
              </w:rPr>
            </w:pPr>
            <w:r>
              <w:rPr>
                <w:rFonts w:ascii="Arial" w:hAnsi="Arial" w:cs="Arial"/>
              </w:rPr>
              <w:t xml:space="preserve"> 1.170,13 € </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rPr>
            </w:pPr>
            <w:r>
              <w:rPr>
                <w:rFonts w:ascii="Arial" w:hAnsi="Arial" w:cs="Arial"/>
              </w:rPr>
              <w:t>+  287,53 €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61AC8" w:rsidRDefault="00061AC8" w:rsidP="00061AC8">
            <w:pPr>
              <w:spacing w:after="0" w:line="276" w:lineRule="auto"/>
              <w:jc w:val="right"/>
              <w:rPr>
                <w:rFonts w:ascii="Arial" w:hAnsi="Arial" w:cs="Arial"/>
                <w:b/>
              </w:rPr>
            </w:pPr>
            <w:r>
              <w:rPr>
                <w:rFonts w:ascii="Arial" w:hAnsi="Arial" w:cs="Arial"/>
                <w:b/>
              </w:rPr>
              <w:t>=  1.457,66 €</w:t>
            </w:r>
          </w:p>
        </w:tc>
      </w:tr>
    </w:tbl>
    <w:p w:rsidR="00061AC8" w:rsidRDefault="00061AC8" w:rsidP="00FC70F8">
      <w:pPr>
        <w:spacing w:after="0"/>
        <w:rPr>
          <w:rFonts w:ascii="Arial" w:hAnsi="Arial" w:cs="Arial"/>
        </w:rPr>
      </w:pPr>
    </w:p>
    <w:p w:rsidR="00FC70F8" w:rsidRDefault="00FC70F8" w:rsidP="00FC70F8">
      <w:pPr>
        <w:spacing w:after="0"/>
        <w:rPr>
          <w:rFonts w:ascii="Arial" w:hAnsi="Arial" w:cs="Arial"/>
        </w:rPr>
      </w:pPr>
    </w:p>
    <w:p w:rsidR="00FC70F8" w:rsidRPr="00FC70F8" w:rsidRDefault="00FC70F8" w:rsidP="00FC70F8">
      <w:pPr>
        <w:pStyle w:val="Listenabsatz"/>
        <w:numPr>
          <w:ilvl w:val="0"/>
          <w:numId w:val="3"/>
        </w:numPr>
        <w:spacing w:after="0"/>
        <w:rPr>
          <w:rFonts w:ascii="Arial" w:hAnsi="Arial" w:cs="Arial"/>
          <w:sz w:val="24"/>
          <w:szCs w:val="24"/>
        </w:rPr>
      </w:pPr>
      <w:r w:rsidRPr="00FC70F8">
        <w:rPr>
          <w:rFonts w:ascii="Arial" w:hAnsi="Arial" w:cs="Arial"/>
          <w:sz w:val="24"/>
          <w:szCs w:val="24"/>
        </w:rPr>
        <w:t>Geltungsbereich</w:t>
      </w:r>
    </w:p>
    <w:p w:rsidR="00FC70F8" w:rsidRPr="00FC70F8" w:rsidRDefault="00FC70F8" w:rsidP="00FC70F8">
      <w:pPr>
        <w:spacing w:after="0"/>
        <w:rPr>
          <w:rFonts w:ascii="Arial" w:hAnsi="Arial" w:cs="Arial"/>
        </w:rPr>
      </w:pPr>
    </w:p>
    <w:p w:rsidR="00FC70F8" w:rsidRPr="00FC70F8" w:rsidRDefault="00FC70F8" w:rsidP="00FA7F56">
      <w:pPr>
        <w:pStyle w:val="Listenabsatz"/>
        <w:numPr>
          <w:ilvl w:val="0"/>
          <w:numId w:val="5"/>
        </w:numPr>
        <w:spacing w:after="0"/>
        <w:jc w:val="both"/>
        <w:rPr>
          <w:rFonts w:ascii="Arial" w:hAnsi="Arial" w:cs="Arial"/>
        </w:rPr>
      </w:pPr>
      <w:r w:rsidRPr="00216425">
        <w:rPr>
          <w:rFonts w:ascii="Arial" w:hAnsi="Arial" w:cs="Arial"/>
        </w:rPr>
        <w:t xml:space="preserve">Die Mietobergrenzen sind gültig in den Stadtteilen </w:t>
      </w:r>
      <w:r w:rsidR="00216425" w:rsidRPr="00216425">
        <w:rPr>
          <w:rFonts w:ascii="Arial" w:hAnsi="Arial" w:cs="Arial"/>
        </w:rPr>
        <w:t>Mitte, Süd, Nord/</w:t>
      </w:r>
      <w:proofErr w:type="spellStart"/>
      <w:r w:rsidR="00216425" w:rsidRPr="00216425">
        <w:rPr>
          <w:rFonts w:ascii="Arial" w:hAnsi="Arial" w:cs="Arial"/>
        </w:rPr>
        <w:t>Hemshof</w:t>
      </w:r>
      <w:proofErr w:type="spellEnd"/>
      <w:r w:rsidR="00216425" w:rsidRPr="00216425">
        <w:rPr>
          <w:rFonts w:ascii="Arial" w:hAnsi="Arial" w:cs="Arial"/>
        </w:rPr>
        <w:t xml:space="preserve">, West, Friesenheim, </w:t>
      </w:r>
      <w:proofErr w:type="spellStart"/>
      <w:r w:rsidR="00216425" w:rsidRPr="00216425">
        <w:rPr>
          <w:rFonts w:ascii="Arial" w:hAnsi="Arial" w:cs="Arial"/>
        </w:rPr>
        <w:t>Oppau</w:t>
      </w:r>
      <w:proofErr w:type="spellEnd"/>
      <w:r w:rsidR="00216425" w:rsidRPr="00216425">
        <w:rPr>
          <w:rFonts w:ascii="Arial" w:hAnsi="Arial" w:cs="Arial"/>
        </w:rPr>
        <w:t xml:space="preserve">, </w:t>
      </w:r>
      <w:proofErr w:type="spellStart"/>
      <w:r w:rsidR="00216425" w:rsidRPr="00216425">
        <w:rPr>
          <w:rFonts w:ascii="Arial" w:hAnsi="Arial" w:cs="Arial"/>
        </w:rPr>
        <w:t>Edigheim</w:t>
      </w:r>
      <w:proofErr w:type="spellEnd"/>
      <w:r w:rsidR="00216425" w:rsidRPr="00216425">
        <w:rPr>
          <w:rFonts w:ascii="Arial" w:hAnsi="Arial" w:cs="Arial"/>
        </w:rPr>
        <w:t xml:space="preserve"> und Pfingstweide, Gartenstadt, </w:t>
      </w:r>
      <w:proofErr w:type="spellStart"/>
      <w:r w:rsidR="00216425" w:rsidRPr="00216425">
        <w:rPr>
          <w:rFonts w:ascii="Arial" w:hAnsi="Arial" w:cs="Arial"/>
        </w:rPr>
        <w:t>Mundenheim</w:t>
      </w:r>
      <w:proofErr w:type="spellEnd"/>
      <w:r w:rsidR="00216425" w:rsidRPr="00216425">
        <w:rPr>
          <w:rFonts w:ascii="Arial" w:hAnsi="Arial" w:cs="Arial"/>
        </w:rPr>
        <w:t xml:space="preserve">, Oggersheim, </w:t>
      </w:r>
      <w:proofErr w:type="spellStart"/>
      <w:r w:rsidR="00216425" w:rsidRPr="00216425">
        <w:rPr>
          <w:rFonts w:ascii="Arial" w:hAnsi="Arial" w:cs="Arial"/>
        </w:rPr>
        <w:t>Rheingönheim</w:t>
      </w:r>
      <w:proofErr w:type="spellEnd"/>
      <w:r w:rsidR="00216425" w:rsidRPr="00216425">
        <w:rPr>
          <w:rFonts w:ascii="Arial" w:hAnsi="Arial" w:cs="Arial"/>
        </w:rPr>
        <w:t xml:space="preserve">, </w:t>
      </w:r>
      <w:proofErr w:type="spellStart"/>
      <w:r w:rsidR="00216425" w:rsidRPr="00216425">
        <w:rPr>
          <w:rFonts w:ascii="Arial" w:hAnsi="Arial" w:cs="Arial"/>
        </w:rPr>
        <w:t>Maudach</w:t>
      </w:r>
      <w:proofErr w:type="spellEnd"/>
      <w:r w:rsidR="00216425" w:rsidRPr="00216425">
        <w:rPr>
          <w:rFonts w:ascii="Arial" w:hAnsi="Arial" w:cs="Arial"/>
        </w:rPr>
        <w:t xml:space="preserve"> und </w:t>
      </w:r>
      <w:proofErr w:type="spellStart"/>
      <w:r w:rsidR="00216425" w:rsidRPr="00216425">
        <w:rPr>
          <w:rFonts w:ascii="Arial" w:hAnsi="Arial" w:cs="Arial"/>
        </w:rPr>
        <w:t>Ruchheim</w:t>
      </w:r>
      <w:proofErr w:type="spellEnd"/>
      <w:r w:rsidR="00216425">
        <w:rPr>
          <w:rFonts w:ascii="Arial" w:hAnsi="Arial" w:cs="Arial"/>
        </w:rPr>
        <w:t>.</w:t>
      </w:r>
    </w:p>
    <w:sectPr w:rsidR="00FC70F8" w:rsidRPr="00FC70F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A8" w:rsidRDefault="003B02A8" w:rsidP="004B3296">
      <w:pPr>
        <w:spacing w:after="0" w:line="240" w:lineRule="auto"/>
      </w:pPr>
      <w:r>
        <w:separator/>
      </w:r>
    </w:p>
  </w:endnote>
  <w:endnote w:type="continuationSeparator" w:id="0">
    <w:p w:rsidR="003B02A8" w:rsidRDefault="003B02A8" w:rsidP="004B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96" w:rsidRPr="004B3296" w:rsidRDefault="00061AC8" w:rsidP="004B3296">
    <w:pPr>
      <w:pStyle w:val="Fuzeile"/>
      <w:pBdr>
        <w:top w:val="single" w:sz="4" w:space="1" w:color="auto"/>
      </w:pBdr>
      <w:rPr>
        <w:rFonts w:ascii="Arial" w:hAnsi="Arial" w:cs="Arial"/>
        <w:sz w:val="20"/>
        <w:szCs w:val="20"/>
      </w:rPr>
    </w:pPr>
    <w:r>
      <w:rPr>
        <w:rFonts w:ascii="Arial" w:hAnsi="Arial" w:cs="Arial"/>
        <w:sz w:val="20"/>
        <w:szCs w:val="20"/>
      </w:rPr>
      <w:tab/>
    </w:r>
    <w:r>
      <w:rPr>
        <w:rFonts w:ascii="Arial" w:hAnsi="Arial" w:cs="Arial"/>
        <w:sz w:val="20"/>
        <w:szCs w:val="20"/>
      </w:rPr>
      <w:tab/>
      <w:t>Stand: 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A8" w:rsidRDefault="003B02A8" w:rsidP="004B3296">
      <w:pPr>
        <w:spacing w:after="0" w:line="240" w:lineRule="auto"/>
      </w:pPr>
      <w:r>
        <w:separator/>
      </w:r>
    </w:p>
  </w:footnote>
  <w:footnote w:type="continuationSeparator" w:id="0">
    <w:p w:rsidR="003B02A8" w:rsidRDefault="003B02A8" w:rsidP="004B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96" w:rsidRDefault="004B3296" w:rsidP="004B3296">
    <w:pPr>
      <w:pStyle w:val="Kopfzeile"/>
      <w:pBdr>
        <w:bottom w:val="single" w:sz="4" w:space="1" w:color="auto"/>
      </w:pBdr>
      <w:jc w:val="right"/>
    </w:pPr>
    <w:bookmarkStart w:id="0" w:name="picLogo1"/>
    <w:r>
      <w:rPr>
        <w:noProof/>
        <w:lang w:eastAsia="de-DE"/>
      </w:rPr>
      <w:drawing>
        <wp:inline distT="0" distB="0" distL="0" distR="0" wp14:anchorId="4652897E" wp14:editId="677186C1">
          <wp:extent cx="1711548" cy="388272"/>
          <wp:effectExtent l="0" t="0" r="3175" b="0"/>
          <wp:docPr id="2" name="Bild 2" descr="C:\Users\KasarS\AppData\Local\ba\bk\cache\aa\ba-logos\500_564\523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arS\AppData\Local\ba\bk\cache\aa\ba-logos\500_564\52302.wmf"/>
                  <pic:cNvPicPr>
                    <a:picLocks noChangeAspect="1" noChangeArrowheads="1"/>
                  </pic:cNvPicPr>
                </pic:nvPicPr>
                <pic:blipFill>
                  <a:blip r:embed="rId1" cstate="print">
                    <a:extLst>
                      <a:ext uri="{28A0092B-C50C-407E-A947-70E740481C1C}">
                        <a14:useLocalDpi xmlns:a14="http://schemas.microsoft.com/office/drawing/2010/main" val="0"/>
                      </a:ext>
                    </a:extLst>
                  </a:blip>
                  <a:srcRect b="-1076"/>
                  <a:stretch>
                    <a:fillRect/>
                  </a:stretch>
                </pic:blipFill>
                <pic:spPr bwMode="auto">
                  <a:xfrm>
                    <a:off x="0" y="0"/>
                    <a:ext cx="1983227" cy="449904"/>
                  </a:xfrm>
                  <a:prstGeom prst="rect">
                    <a:avLst/>
                  </a:prstGeom>
                  <a:noFill/>
                  <a:ln>
                    <a:noFill/>
                  </a:ln>
                </pic:spPr>
              </pic:pic>
            </a:graphicData>
          </a:graphic>
        </wp:inline>
      </w:drawing>
    </w:r>
    <w:bookmarkEnd w:id="0"/>
  </w:p>
  <w:p w:rsidR="004B3296" w:rsidRDefault="004B32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4E9"/>
    <w:multiLevelType w:val="hybridMultilevel"/>
    <w:tmpl w:val="F086E67A"/>
    <w:lvl w:ilvl="0" w:tplc="DB667D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4C2CF7"/>
    <w:multiLevelType w:val="hybridMultilevel"/>
    <w:tmpl w:val="EA08E04C"/>
    <w:lvl w:ilvl="0" w:tplc="6428EA76">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5F9604A"/>
    <w:multiLevelType w:val="hybridMultilevel"/>
    <w:tmpl w:val="0DFCEFB0"/>
    <w:lvl w:ilvl="0" w:tplc="DB667D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F393C5B"/>
    <w:multiLevelType w:val="hybridMultilevel"/>
    <w:tmpl w:val="458C576C"/>
    <w:lvl w:ilvl="0" w:tplc="DB667D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9466D1"/>
    <w:multiLevelType w:val="hybridMultilevel"/>
    <w:tmpl w:val="636C921A"/>
    <w:lvl w:ilvl="0" w:tplc="DB667D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96"/>
    <w:rsid w:val="00011113"/>
    <w:rsid w:val="00061AC8"/>
    <w:rsid w:val="000E2609"/>
    <w:rsid w:val="001B0530"/>
    <w:rsid w:val="00216425"/>
    <w:rsid w:val="003853BB"/>
    <w:rsid w:val="003B02A8"/>
    <w:rsid w:val="004B3296"/>
    <w:rsid w:val="006879CD"/>
    <w:rsid w:val="006B62E4"/>
    <w:rsid w:val="008958D6"/>
    <w:rsid w:val="00935DD6"/>
    <w:rsid w:val="00A67B0C"/>
    <w:rsid w:val="00C772BD"/>
    <w:rsid w:val="00D14595"/>
    <w:rsid w:val="00D7468A"/>
    <w:rsid w:val="00D90037"/>
    <w:rsid w:val="00EA0FCC"/>
    <w:rsid w:val="00ED4122"/>
    <w:rsid w:val="00FC7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B013F-EC9B-4469-BC9E-1901C5F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2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296"/>
  </w:style>
  <w:style w:type="paragraph" w:styleId="Fuzeile">
    <w:name w:val="footer"/>
    <w:basedOn w:val="Standard"/>
    <w:link w:val="FuzeileZchn"/>
    <w:uiPriority w:val="99"/>
    <w:unhideWhenUsed/>
    <w:rsid w:val="004B32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296"/>
  </w:style>
  <w:style w:type="paragraph" w:styleId="Listenabsatz">
    <w:name w:val="List Paragraph"/>
    <w:basedOn w:val="Standard"/>
    <w:uiPriority w:val="34"/>
    <w:qFormat/>
    <w:rsid w:val="004B3296"/>
    <w:pPr>
      <w:ind w:left="720"/>
      <w:contextualSpacing/>
    </w:pPr>
  </w:style>
  <w:style w:type="table" w:styleId="Tabellenraster">
    <w:name w:val="Table Grid"/>
    <w:basedOn w:val="NormaleTabelle"/>
    <w:uiPriority w:val="39"/>
    <w:rsid w:val="0001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5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Celik Yavuz</dc:creator>
  <cp:keywords/>
  <dc:description/>
  <cp:lastModifiedBy>Gräf Christian</cp:lastModifiedBy>
  <cp:revision>2</cp:revision>
  <dcterms:created xsi:type="dcterms:W3CDTF">2018-04-26T13:05:00Z</dcterms:created>
  <dcterms:modified xsi:type="dcterms:W3CDTF">2018-04-26T13:05:00Z</dcterms:modified>
</cp:coreProperties>
</file>